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06" w:rsidRDefault="008B23E4" w:rsidP="008B23E4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8B23E4">
        <w:rPr>
          <w:rFonts w:ascii="Arial" w:hAnsi="Arial" w:cs="Arial"/>
          <w:b/>
          <w:i/>
          <w:sz w:val="24"/>
          <w:szCs w:val="24"/>
        </w:rPr>
        <w:t>Z1</w:t>
      </w:r>
      <w:r w:rsidRPr="008B23E4">
        <w:rPr>
          <w:rFonts w:ascii="Arial" w:hAnsi="Arial" w:cs="Arial"/>
          <w:b/>
          <w:i/>
          <w:sz w:val="24"/>
          <w:szCs w:val="24"/>
        </w:rPr>
        <w:softHyphen/>
        <w:t>_5_2_4</w:t>
      </w:r>
    </w:p>
    <w:p w:rsidR="008B23E4" w:rsidRDefault="008B23E4" w:rsidP="008B23E4">
      <w:pPr>
        <w:rPr>
          <w:rFonts w:ascii="Arial" w:hAnsi="Arial" w:cs="Arial"/>
          <w:b/>
          <w:sz w:val="24"/>
          <w:szCs w:val="24"/>
        </w:rPr>
      </w:pPr>
      <w:r w:rsidRPr="008B23E4">
        <w:rPr>
          <w:rFonts w:ascii="Arial" w:hAnsi="Arial" w:cs="Arial"/>
          <w:b/>
          <w:sz w:val="24"/>
          <w:szCs w:val="24"/>
        </w:rPr>
        <w:t>Materiał do mini wykładu nt. barier.</w:t>
      </w:r>
    </w:p>
    <w:p w:rsidR="003179E4" w:rsidRPr="00A05064" w:rsidRDefault="003179E4" w:rsidP="008B23E4">
      <w:pPr>
        <w:rPr>
          <w:rFonts w:ascii="Arial" w:hAnsi="Arial" w:cs="Arial"/>
          <w:b/>
          <w:bCs/>
          <w:sz w:val="24"/>
          <w:szCs w:val="24"/>
        </w:rPr>
      </w:pPr>
      <w:r w:rsidRPr="00A05064">
        <w:rPr>
          <w:rFonts w:ascii="Arial" w:hAnsi="Arial" w:cs="Arial"/>
          <w:b/>
          <w:bCs/>
          <w:sz w:val="24"/>
          <w:szCs w:val="24"/>
        </w:rPr>
        <w:t>Bariery zarządzania strategicznego rozwojem lokalnym prowadzon</w:t>
      </w:r>
      <w:r w:rsidR="005F3189" w:rsidRPr="00A05064">
        <w:rPr>
          <w:rFonts w:ascii="Arial" w:hAnsi="Arial" w:cs="Arial"/>
          <w:b/>
          <w:bCs/>
          <w:sz w:val="24"/>
          <w:szCs w:val="24"/>
        </w:rPr>
        <w:t>ym</w:t>
      </w:r>
      <w:r w:rsidR="004C5FD7">
        <w:rPr>
          <w:rFonts w:ascii="Arial" w:hAnsi="Arial" w:cs="Arial"/>
          <w:b/>
          <w:bCs/>
          <w:sz w:val="24"/>
          <w:szCs w:val="24"/>
        </w:rPr>
        <w:t xml:space="preserve"> przez </w:t>
      </w:r>
      <w:r w:rsidRPr="00A05064">
        <w:rPr>
          <w:rFonts w:ascii="Arial" w:hAnsi="Arial" w:cs="Arial"/>
          <w:b/>
          <w:bCs/>
          <w:sz w:val="24"/>
          <w:szCs w:val="24"/>
        </w:rPr>
        <w:t>władze lokalne</w:t>
      </w:r>
      <w:r w:rsidR="00270F9F">
        <w:rPr>
          <w:rFonts w:ascii="Arial" w:hAnsi="Arial" w:cs="Arial"/>
          <w:b/>
          <w:bCs/>
          <w:sz w:val="24"/>
          <w:szCs w:val="24"/>
        </w:rPr>
        <w:t>: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metodologiczne </w:t>
      </w:r>
      <w:r w:rsidRPr="005F3189">
        <w:rPr>
          <w:rFonts w:ascii="Arial" w:hAnsi="Arial" w:cs="Arial"/>
          <w:sz w:val="24"/>
          <w:szCs w:val="24"/>
        </w:rPr>
        <w:t xml:space="preserve">- niedostosowania teorii </w:t>
      </w:r>
      <w:r w:rsidR="004C5FD7">
        <w:rPr>
          <w:rFonts w:ascii="Arial" w:hAnsi="Arial" w:cs="Arial"/>
          <w:sz w:val="24"/>
          <w:szCs w:val="24"/>
        </w:rPr>
        <w:t>do praktyki, niedostosowaniu do </w:t>
      </w:r>
      <w:r w:rsidRPr="005F3189">
        <w:rPr>
          <w:rFonts w:ascii="Arial" w:hAnsi="Arial" w:cs="Arial"/>
          <w:sz w:val="24"/>
          <w:szCs w:val="24"/>
        </w:rPr>
        <w:t>możliwości i potrzeb</w:t>
      </w:r>
      <w:r w:rsidR="005F3189">
        <w:rPr>
          <w:rFonts w:ascii="Arial" w:hAnsi="Arial" w:cs="Arial"/>
          <w:sz w:val="24"/>
          <w:szCs w:val="24"/>
        </w:rPr>
        <w:t>.</w:t>
      </w:r>
      <w:r w:rsidRPr="005F3189">
        <w:rPr>
          <w:rFonts w:ascii="Arial" w:hAnsi="Arial" w:cs="Arial"/>
          <w:sz w:val="24"/>
          <w:szCs w:val="24"/>
        </w:rPr>
        <w:t xml:space="preserve"> 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sz w:val="24"/>
          <w:szCs w:val="24"/>
        </w:rPr>
        <w:t xml:space="preserve"> </w:t>
      </w:r>
      <w:r w:rsidRPr="005F3189">
        <w:rPr>
          <w:rFonts w:ascii="Arial" w:hAnsi="Arial" w:cs="Arial"/>
          <w:bCs/>
          <w:i/>
          <w:iCs/>
          <w:sz w:val="24"/>
          <w:szCs w:val="24"/>
        </w:rPr>
        <w:t>Bariery prawne</w:t>
      </w:r>
      <w:r w:rsidRPr="005F3189">
        <w:rPr>
          <w:rFonts w:ascii="Arial" w:hAnsi="Arial" w:cs="Arial"/>
          <w:sz w:val="24"/>
          <w:szCs w:val="24"/>
        </w:rPr>
        <w:t xml:space="preserve"> – regulacje centralne np. - regulacje w zakresie redystrybucji dochodów budżetowych i samodzielnego pozyskiwania tych dochodów przez gminy,</w:t>
      </w:r>
      <w:r w:rsidR="005F3189">
        <w:rPr>
          <w:rFonts w:ascii="Arial" w:hAnsi="Arial" w:cs="Arial"/>
          <w:sz w:val="24"/>
          <w:szCs w:val="24"/>
        </w:rPr>
        <w:t xml:space="preserve"> </w:t>
      </w:r>
      <w:r w:rsidRPr="005F3189">
        <w:rPr>
          <w:rFonts w:ascii="Arial" w:hAnsi="Arial" w:cs="Arial"/>
          <w:sz w:val="24"/>
          <w:szCs w:val="24"/>
        </w:rPr>
        <w:t>w zakresie świadczenia usług komunalnych</w:t>
      </w:r>
      <w:r w:rsidR="005F3189">
        <w:rPr>
          <w:rFonts w:ascii="Arial" w:hAnsi="Arial" w:cs="Arial"/>
          <w:sz w:val="24"/>
          <w:szCs w:val="24"/>
        </w:rPr>
        <w:t>.</w:t>
      </w:r>
      <w:r w:rsidRPr="005F3189">
        <w:rPr>
          <w:rFonts w:ascii="Arial" w:hAnsi="Arial" w:cs="Arial"/>
          <w:sz w:val="24"/>
          <w:szCs w:val="24"/>
        </w:rPr>
        <w:t xml:space="preserve"> 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współpracy </w:t>
      </w:r>
      <w:r w:rsidRPr="005F3189">
        <w:rPr>
          <w:rFonts w:ascii="Arial" w:hAnsi="Arial" w:cs="Arial"/>
          <w:sz w:val="24"/>
          <w:szCs w:val="24"/>
        </w:rPr>
        <w:t>- wykształcenie więzi</w:t>
      </w:r>
      <w:r w:rsidR="004C5FD7">
        <w:rPr>
          <w:rFonts w:ascii="Arial" w:hAnsi="Arial" w:cs="Arial"/>
          <w:sz w:val="24"/>
          <w:szCs w:val="24"/>
        </w:rPr>
        <w:t xml:space="preserve"> współpracy między samorządem a </w:t>
      </w:r>
      <w:r w:rsidRPr="005F3189">
        <w:rPr>
          <w:rFonts w:ascii="Arial" w:hAnsi="Arial" w:cs="Arial"/>
          <w:sz w:val="24"/>
          <w:szCs w:val="24"/>
        </w:rPr>
        <w:t xml:space="preserve">partnerami współdziałania strategicznego, takimi jak przedsiębiorstwa, organizacje pozarządowe, związki zawodowe, itp. 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partycypacji społecznej </w:t>
      </w:r>
      <w:r w:rsidRPr="005F3189">
        <w:rPr>
          <w:rFonts w:ascii="Arial" w:hAnsi="Arial" w:cs="Arial"/>
          <w:sz w:val="24"/>
          <w:szCs w:val="24"/>
        </w:rPr>
        <w:t>– szczególnie istotna n</w:t>
      </w:r>
      <w:r w:rsidR="005F3189">
        <w:rPr>
          <w:rFonts w:ascii="Arial" w:hAnsi="Arial" w:cs="Arial"/>
          <w:sz w:val="24"/>
          <w:szCs w:val="24"/>
        </w:rPr>
        <w:t>a etapie formułowania strategii.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>Bariery informacyjne</w:t>
      </w:r>
      <w:r w:rsidR="005F3189">
        <w:rPr>
          <w:rFonts w:ascii="Arial" w:hAnsi="Arial" w:cs="Arial"/>
          <w:bCs/>
          <w:i/>
          <w:iCs/>
          <w:sz w:val="24"/>
          <w:szCs w:val="24"/>
        </w:rPr>
        <w:t>.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wzorców </w:t>
      </w:r>
      <w:r w:rsidRPr="005F3189">
        <w:rPr>
          <w:rFonts w:ascii="Arial" w:hAnsi="Arial" w:cs="Arial"/>
          <w:sz w:val="24"/>
          <w:szCs w:val="24"/>
        </w:rPr>
        <w:t xml:space="preserve">- strategia rozwoju jest dokumentem, który  wypada mieć </w:t>
      </w:r>
      <w:r w:rsidR="005F3189">
        <w:rPr>
          <w:rFonts w:ascii="Arial" w:hAnsi="Arial" w:cs="Arial"/>
          <w:sz w:val="24"/>
          <w:szCs w:val="24"/>
        </w:rPr>
        <w:br/>
      </w:r>
      <w:r w:rsidRPr="005F3189">
        <w:rPr>
          <w:rFonts w:ascii="Arial" w:hAnsi="Arial" w:cs="Arial"/>
          <w:sz w:val="24"/>
          <w:szCs w:val="24"/>
        </w:rPr>
        <w:t>z powodów wizerunkowych lub należy mieć, by spełnić wymóg formalny</w:t>
      </w:r>
      <w:r w:rsidR="005F3189">
        <w:rPr>
          <w:rFonts w:ascii="Arial" w:hAnsi="Arial" w:cs="Arial"/>
          <w:sz w:val="24"/>
          <w:szCs w:val="24"/>
        </w:rPr>
        <w:t>.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>Bariery wsparcia merytorycznego</w:t>
      </w:r>
      <w:r w:rsidR="005F3189">
        <w:rPr>
          <w:rFonts w:ascii="Arial" w:hAnsi="Arial" w:cs="Arial"/>
          <w:bCs/>
          <w:i/>
          <w:iCs/>
          <w:sz w:val="24"/>
          <w:szCs w:val="24"/>
        </w:rPr>
        <w:t>.</w:t>
      </w: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>Bariery kadrowe</w:t>
      </w:r>
      <w:r w:rsidR="005F3189">
        <w:rPr>
          <w:rFonts w:ascii="Arial" w:hAnsi="Arial" w:cs="Arial"/>
          <w:bCs/>
          <w:i/>
          <w:iCs/>
          <w:sz w:val="24"/>
          <w:szCs w:val="24"/>
        </w:rPr>
        <w:t>.</w:t>
      </w: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2635EF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związane z cechami osobowymi władz lokalnych </w:t>
      </w:r>
      <w:r w:rsidRPr="005F3189">
        <w:rPr>
          <w:rFonts w:ascii="Arial" w:hAnsi="Arial" w:cs="Arial"/>
          <w:sz w:val="24"/>
          <w:szCs w:val="24"/>
        </w:rPr>
        <w:t>– nieufność wobec planów długoterminowych, awersja do ryzyka negatywnej oceny przyszłych procesów zarządzania, niska skłonność do delegowania kompetencji decyzyjnych w sprawach  o znaczeniu strategicznym, skłonność do konfliktów o podłożu politycznym</w:t>
      </w:r>
      <w:r w:rsidR="005F3189">
        <w:rPr>
          <w:rFonts w:ascii="Arial" w:hAnsi="Arial" w:cs="Arial"/>
          <w:sz w:val="24"/>
          <w:szCs w:val="24"/>
        </w:rPr>
        <w:t>.</w:t>
      </w: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175CA" w:rsidRPr="005175CA" w:rsidRDefault="005175CA" w:rsidP="005175CA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175CA">
        <w:rPr>
          <w:rFonts w:ascii="Arial" w:hAnsi="Arial" w:cs="Arial"/>
          <w:b/>
          <w:sz w:val="24"/>
          <w:szCs w:val="24"/>
        </w:rPr>
        <w:lastRenderedPageBreak/>
        <w:t>Bariery wdrażania projektu rozwojowego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2943"/>
        <w:gridCol w:w="6269"/>
      </w:tblGrid>
      <w:tr w:rsidR="009F6696" w:rsidTr="00E94B23">
        <w:tc>
          <w:tcPr>
            <w:tcW w:w="9212" w:type="dxa"/>
            <w:gridSpan w:val="2"/>
          </w:tcPr>
          <w:p w:rsidR="009F6696" w:rsidRPr="009F6696" w:rsidRDefault="009F6696" w:rsidP="009F669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696">
              <w:rPr>
                <w:rFonts w:ascii="Arial" w:hAnsi="Arial" w:cs="Arial"/>
                <w:b/>
                <w:bCs/>
                <w:sz w:val="24"/>
                <w:szCs w:val="24"/>
              </w:rPr>
              <w:t>Sfera realizacji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Wiedzieć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Bariery informacyjne - komunikacja strategii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Rozumieć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Bariery poznawcze - hermetyczny język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Chcieć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Bariery wolicjonalne:</w:t>
            </w:r>
          </w:p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 xml:space="preserve"> - brak utożsamiania się ze strategią</w:t>
            </w:r>
          </w:p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-  kadencyjność władz -&gt; brak woli politycznej</w:t>
            </w:r>
          </w:p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-  presja bieżących problemów</w:t>
            </w:r>
            <w:r w:rsidRPr="005175CA">
              <w:rPr>
                <w:rFonts w:ascii="Arial" w:hAnsi="Arial" w:cs="Arial"/>
                <w:sz w:val="24"/>
                <w:szCs w:val="24"/>
              </w:rPr>
              <w:br/>
              <w:t>-  nawyk myślenia w kategoriach krótkookresowych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Móc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 xml:space="preserve">-  Brak możliwości realizacji - niedostatek zasobów;   </w:t>
            </w:r>
            <w:r w:rsidRPr="005175CA">
              <w:rPr>
                <w:rFonts w:ascii="Arial" w:hAnsi="Arial" w:cs="Arial"/>
                <w:sz w:val="24"/>
                <w:szCs w:val="24"/>
              </w:rPr>
              <w:br/>
              <w:t xml:space="preserve">   ludzkich, rzeczowych, finansowych, </w:t>
            </w:r>
            <w:r w:rsidRPr="005175CA">
              <w:rPr>
                <w:rFonts w:ascii="Arial" w:hAnsi="Arial" w:cs="Arial"/>
                <w:sz w:val="24"/>
                <w:szCs w:val="24"/>
              </w:rPr>
              <w:br/>
              <w:t xml:space="preserve">   infrastrukturalnych - bariery wewnętrzne  </w:t>
            </w:r>
            <w:r w:rsidRPr="005175CA">
              <w:rPr>
                <w:rFonts w:ascii="Arial" w:hAnsi="Arial" w:cs="Arial"/>
                <w:sz w:val="24"/>
                <w:szCs w:val="24"/>
              </w:rPr>
              <w:br/>
              <w:t>-  Niekorzystne trendy zewnętrzne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Potrafić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Bariery sprawnościowe</w:t>
            </w:r>
          </w:p>
        </w:tc>
      </w:tr>
    </w:tbl>
    <w:p w:rsidR="005175CA" w:rsidRDefault="005175CA" w:rsidP="005175CA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175CA" w:rsidRDefault="005175CA" w:rsidP="005175CA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175CA" w:rsidRDefault="005175CA" w:rsidP="005175CA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3179E4" w:rsidRPr="005175CA" w:rsidRDefault="003179E4" w:rsidP="008B23E4">
      <w:pPr>
        <w:rPr>
          <w:rFonts w:ascii="Arial" w:hAnsi="Arial" w:cs="Arial"/>
          <w:sz w:val="24"/>
          <w:szCs w:val="24"/>
        </w:rPr>
      </w:pPr>
    </w:p>
    <w:sectPr w:rsidR="003179E4" w:rsidRPr="005175CA" w:rsidSect="004C5FD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1A" w:rsidRDefault="002F001A" w:rsidP="004C5FD7">
      <w:pPr>
        <w:spacing w:after="0" w:line="240" w:lineRule="auto"/>
      </w:pPr>
      <w:r>
        <w:separator/>
      </w:r>
    </w:p>
  </w:endnote>
  <w:endnote w:type="continuationSeparator" w:id="0">
    <w:p w:rsidR="002F001A" w:rsidRDefault="002F001A" w:rsidP="004C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1A" w:rsidRDefault="002F001A" w:rsidP="004C5FD7">
      <w:pPr>
        <w:spacing w:after="0" w:line="240" w:lineRule="auto"/>
      </w:pPr>
      <w:r>
        <w:separator/>
      </w:r>
    </w:p>
  </w:footnote>
  <w:footnote w:type="continuationSeparator" w:id="0">
    <w:p w:rsidR="002F001A" w:rsidRDefault="002F001A" w:rsidP="004C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D7" w:rsidRDefault="004C5FD7">
    <w:pPr>
      <w:pStyle w:val="Nagwek"/>
    </w:pPr>
    <w:r w:rsidRPr="004C5FD7">
      <w:drawing>
        <wp:inline distT="0" distB="0" distL="0" distR="0">
          <wp:extent cx="5760720" cy="512064"/>
          <wp:effectExtent l="19050" t="0" r="0" b="0"/>
          <wp:docPr id="4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F0D95"/>
    <w:multiLevelType w:val="hybridMultilevel"/>
    <w:tmpl w:val="A1943E7E"/>
    <w:lvl w:ilvl="0" w:tplc="EF24C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86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A3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CD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4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CF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E4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08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0B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064F3"/>
    <w:multiLevelType w:val="hybridMultilevel"/>
    <w:tmpl w:val="35543EC6"/>
    <w:lvl w:ilvl="0" w:tplc="B576F5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AE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EC9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4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AA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65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DA9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6C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01A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3E4"/>
    <w:rsid w:val="002635EF"/>
    <w:rsid w:val="00270F9F"/>
    <w:rsid w:val="002F001A"/>
    <w:rsid w:val="003179E4"/>
    <w:rsid w:val="004C5FD7"/>
    <w:rsid w:val="005175CA"/>
    <w:rsid w:val="005F3189"/>
    <w:rsid w:val="008B23E4"/>
    <w:rsid w:val="009F6696"/>
    <w:rsid w:val="00A05064"/>
    <w:rsid w:val="00A34006"/>
    <w:rsid w:val="00D7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C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5FD7"/>
  </w:style>
  <w:style w:type="paragraph" w:styleId="Stopka">
    <w:name w:val="footer"/>
    <w:basedOn w:val="Normalny"/>
    <w:link w:val="StopkaZnak"/>
    <w:uiPriority w:val="99"/>
    <w:semiHidden/>
    <w:unhideWhenUsed/>
    <w:rsid w:val="004C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5FD7"/>
  </w:style>
  <w:style w:type="paragraph" w:styleId="Tekstdymka">
    <w:name w:val="Balloon Text"/>
    <w:basedOn w:val="Normalny"/>
    <w:link w:val="TekstdymkaZnak"/>
    <w:uiPriority w:val="99"/>
    <w:semiHidden/>
    <w:unhideWhenUsed/>
    <w:rsid w:val="004C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582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35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53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1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63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5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8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48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78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A6734-E645-4AAE-BE8C-27814982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halska</dc:creator>
  <cp:lastModifiedBy>FRDL</cp:lastModifiedBy>
  <cp:revision>2</cp:revision>
  <dcterms:created xsi:type="dcterms:W3CDTF">2017-12-21T17:06:00Z</dcterms:created>
  <dcterms:modified xsi:type="dcterms:W3CDTF">2018-03-08T16:47:00Z</dcterms:modified>
</cp:coreProperties>
</file>